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3B6E2" w14:textId="1C4EF253" w:rsidR="00AE36D8" w:rsidRPr="00AE36D8" w:rsidRDefault="00AE36D8" w:rsidP="00AE36D8">
      <w:pPr>
        <w:tabs>
          <w:tab w:val="right" w:pos="20000"/>
        </w:tabs>
        <w:spacing w:after="0"/>
        <w:rPr>
          <w:rFonts w:ascii="Arial" w:eastAsia="MS Mincho" w:hAnsi="Arial" w:cs="Arial"/>
          <w:b/>
          <w:noProof/>
          <w:sz w:val="24"/>
          <w:szCs w:val="24"/>
        </w:rPr>
      </w:pPr>
      <w:bookmarkStart w:id="0" w:name="OLE_LINK15"/>
      <w:bookmarkStart w:id="1" w:name="_Hlk84666062"/>
      <w:r w:rsidRPr="00AE36D8">
        <w:rPr>
          <w:rFonts w:ascii="Arial" w:eastAsia="MS Mincho" w:hAnsi="Arial"/>
          <w:b/>
          <w:noProof/>
          <w:sz w:val="24"/>
        </w:rPr>
        <w:t>3GPP TSG-</w:t>
      </w:r>
      <w:r w:rsidRPr="00AE36D8">
        <w:rPr>
          <w:rFonts w:ascii="Arial" w:eastAsia="MS Mincho" w:hAnsi="Arial"/>
          <w:b/>
          <w:noProof/>
          <w:sz w:val="24"/>
          <w:lang w:eastAsia="zh-CN"/>
        </w:rPr>
        <w:t>RAN WG4</w:t>
      </w:r>
      <w:r w:rsidRPr="00AE36D8">
        <w:rPr>
          <w:rFonts w:ascii="Arial" w:eastAsia="MS Mincho" w:hAnsi="Arial"/>
          <w:b/>
          <w:noProof/>
          <w:sz w:val="24"/>
        </w:rPr>
        <w:t xml:space="preserve"> Meetin</w:t>
      </w:r>
      <w:r w:rsidRPr="00AE36D8">
        <w:rPr>
          <w:rFonts w:ascii="Arial" w:eastAsia="MS Mincho" w:hAnsi="Arial"/>
          <w:b/>
          <w:noProof/>
          <w:sz w:val="24"/>
          <w:lang w:eastAsia="zh-CN"/>
        </w:rPr>
        <w:t>g #108-bis</w:t>
      </w:r>
      <w:r w:rsidRPr="00AE36D8">
        <w:rPr>
          <w:rFonts w:ascii="Arial" w:eastAsia="MS Mincho" w:hAnsi="Arial" w:cs="Arial"/>
          <w:b/>
          <w:noProof/>
          <w:sz w:val="24"/>
          <w:szCs w:val="24"/>
        </w:rPr>
        <w:tab/>
      </w:r>
      <w:r w:rsidR="00D045D0" w:rsidRPr="00D045D0">
        <w:rPr>
          <w:rFonts w:ascii="Arial" w:hAnsi="Arial" w:cs="Arial"/>
          <w:b/>
          <w:noProof/>
          <w:sz w:val="24"/>
          <w:szCs w:val="24"/>
          <w:lang w:eastAsia="zh-CN"/>
        </w:rPr>
        <w:t>R4-2316011</w:t>
      </w:r>
    </w:p>
    <w:bookmarkEnd w:id="0"/>
    <w:p w14:paraId="7AFBCDC5" w14:textId="77777777" w:rsidR="00AE36D8" w:rsidRPr="00AE36D8" w:rsidRDefault="00AE36D8" w:rsidP="00AE36D8">
      <w:pPr>
        <w:spacing w:after="120"/>
        <w:outlineLvl w:val="0"/>
        <w:rPr>
          <w:rFonts w:ascii="Arial" w:eastAsia="MS Mincho" w:hAnsi="Arial"/>
          <w:b/>
          <w:noProof/>
          <w:sz w:val="24"/>
        </w:rPr>
      </w:pPr>
      <w:r w:rsidRPr="00AE36D8">
        <w:rPr>
          <w:rFonts w:ascii="Arial" w:eastAsia="MS Mincho" w:hAnsi="Arial"/>
          <w:b/>
          <w:noProof/>
          <w:sz w:val="24"/>
        </w:rPr>
        <w:t>Xiamen, 9</w:t>
      </w:r>
      <w:r w:rsidRPr="00AE36D8">
        <w:rPr>
          <w:rFonts w:ascii="Arial" w:eastAsia="MS Mincho" w:hAnsi="Arial"/>
          <w:b/>
          <w:noProof/>
          <w:sz w:val="24"/>
          <w:vertAlign w:val="superscript"/>
        </w:rPr>
        <w:t>th</w:t>
      </w:r>
      <w:r w:rsidRPr="00AE36D8">
        <w:rPr>
          <w:rFonts w:ascii="Arial" w:eastAsia="MS Mincho" w:hAnsi="Arial"/>
          <w:b/>
          <w:noProof/>
          <w:sz w:val="24"/>
        </w:rPr>
        <w:t xml:space="preserve"> - 13</w:t>
      </w:r>
      <w:r w:rsidRPr="00AE36D8">
        <w:rPr>
          <w:rFonts w:ascii="Arial" w:eastAsia="MS Mincho" w:hAnsi="Arial"/>
          <w:b/>
          <w:noProof/>
          <w:sz w:val="24"/>
          <w:vertAlign w:val="superscript"/>
        </w:rPr>
        <w:t>th</w:t>
      </w:r>
      <w:r w:rsidRPr="00AE36D8">
        <w:rPr>
          <w:rFonts w:ascii="Arial" w:eastAsia="MS Mincho" w:hAnsi="Arial"/>
          <w:b/>
          <w:noProof/>
          <w:sz w:val="24"/>
        </w:rPr>
        <w:t xml:space="preserve"> Oct, 2023</w:t>
      </w:r>
      <w:bookmarkEnd w:id="1"/>
    </w:p>
    <w:p w14:paraId="0985FDF3" w14:textId="4757FE85" w:rsidR="00D46BD4" w:rsidRPr="006B573C" w:rsidRDefault="00D46BD4" w:rsidP="00D46BD4">
      <w:pPr>
        <w:pStyle w:val="af"/>
        <w:jc w:val="both"/>
        <w:rPr>
          <w:rFonts w:eastAsia="宋体"/>
          <w:i w:val="0"/>
          <w:noProof w:val="0"/>
          <w:sz w:val="24"/>
        </w:rPr>
      </w:pPr>
    </w:p>
    <w:p w14:paraId="746C058D" w14:textId="2E53473E"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646DA1" w:rsidRPr="00646DA1">
        <w:rPr>
          <w:rFonts w:ascii="Arial" w:hAnsi="Arial"/>
          <w:sz w:val="24"/>
          <w:lang w:val="en-US" w:eastAsia="zh-CN"/>
        </w:rPr>
        <w:t>Discussion on general aspects for NR ATG demodulation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43CCF809"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D045D0" w:rsidRPr="00D045D0">
        <w:rPr>
          <w:rFonts w:ascii="Arial" w:hAnsi="Arial"/>
          <w:sz w:val="24"/>
          <w:lang w:val="pt-BR"/>
        </w:rPr>
        <w:t>5.13.7.1</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4AB4F018" w:rsidR="00DA5EE2" w:rsidRPr="004B565E" w:rsidRDefault="00DA5EE2" w:rsidP="00DA5EE2">
      <w:pPr>
        <w:rPr>
          <w:lang w:val="en-US" w:eastAsia="zh-CN"/>
        </w:rPr>
      </w:pPr>
      <w:r>
        <w:rPr>
          <w:lang w:eastAsia="zh-CN"/>
        </w:rPr>
        <w:t>During RAN</w:t>
      </w:r>
      <w:r w:rsidR="00661D17">
        <w:rPr>
          <w:lang w:eastAsia="zh-CN"/>
        </w:rPr>
        <w:t>4</w:t>
      </w:r>
      <w:r>
        <w:rPr>
          <w:lang w:eastAsia="zh-CN"/>
        </w:rPr>
        <w:t>#</w:t>
      </w:r>
      <w:r w:rsidR="00661D17">
        <w:rPr>
          <w:lang w:eastAsia="zh-CN"/>
        </w:rPr>
        <w:t>10</w:t>
      </w:r>
      <w:r w:rsidR="006C082F">
        <w:rPr>
          <w:lang w:eastAsia="zh-CN"/>
        </w:rPr>
        <w:t>8</w:t>
      </w:r>
      <w:r>
        <w:rPr>
          <w:lang w:eastAsia="zh-CN"/>
        </w:rPr>
        <w:t xml:space="preserve"> meeting, </w:t>
      </w:r>
      <w:r w:rsidR="00661D17">
        <w:rPr>
          <w:lang w:eastAsia="zh-CN"/>
        </w:rPr>
        <w:t>WF</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661D17"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00646DA1" w:rsidRPr="00646DA1">
        <w:rPr>
          <w:lang w:val="en-US" w:eastAsia="zh-CN"/>
        </w:rPr>
        <w:t xml:space="preserve">general aspects for </w:t>
      </w:r>
      <w:r w:rsidR="00646DA1">
        <w:rPr>
          <w:lang w:val="en-US" w:eastAsia="zh-CN"/>
        </w:rPr>
        <w:t>NR ATG</w:t>
      </w:r>
      <w:r w:rsidRPr="00964D21">
        <w:rPr>
          <w:lang w:val="en-US" w:eastAsia="zh-CN"/>
        </w:rPr>
        <w:t xml:space="preserve"> demodulation requirements</w:t>
      </w:r>
      <w:r w:rsidRPr="004B565E">
        <w:rPr>
          <w:lang w:val="en-US" w:eastAsia="zh-CN"/>
        </w:rPr>
        <w:t>.</w:t>
      </w:r>
    </w:p>
    <w:p w14:paraId="4B381C34" w14:textId="4A69251F" w:rsidR="00EA7C2F" w:rsidRDefault="00EA7C2F" w:rsidP="00D46BD4">
      <w:pPr>
        <w:pStyle w:val="1"/>
        <w:rPr>
          <w:lang w:val="en-US" w:eastAsia="zh-CN"/>
        </w:rPr>
      </w:pPr>
      <w:r>
        <w:rPr>
          <w:rFonts w:hint="eastAsia"/>
          <w:lang w:val="en-US" w:eastAsia="zh-CN"/>
        </w:rPr>
        <w:t>D</w:t>
      </w:r>
      <w:r>
        <w:rPr>
          <w:lang w:val="en-US" w:eastAsia="zh-CN"/>
        </w:rPr>
        <w:t>iscussion</w:t>
      </w:r>
    </w:p>
    <w:p w14:paraId="0485ABFC" w14:textId="3A67CC72" w:rsidR="00661D17" w:rsidRDefault="009715AC" w:rsidP="00661D17">
      <w:pPr>
        <w:pStyle w:val="2"/>
        <w:rPr>
          <w:lang w:val="en-US" w:eastAsia="zh-CN"/>
        </w:rPr>
      </w:pPr>
      <w:r w:rsidRPr="009715AC">
        <w:rPr>
          <w:lang w:val="en-US" w:eastAsia="zh-CN"/>
        </w:rPr>
        <w:t>TDD pattern</w:t>
      </w:r>
    </w:p>
    <w:tbl>
      <w:tblPr>
        <w:tblStyle w:val="af4"/>
        <w:tblW w:w="0" w:type="auto"/>
        <w:tblLook w:val="04A0" w:firstRow="1" w:lastRow="0" w:firstColumn="1" w:lastColumn="0" w:noHBand="0" w:noVBand="1"/>
      </w:tblPr>
      <w:tblGrid>
        <w:gridCol w:w="10456"/>
      </w:tblGrid>
      <w:tr w:rsidR="00661D17" w:rsidRPr="004B6439" w14:paraId="41A8BD1E" w14:textId="77777777" w:rsidTr="00661D17">
        <w:tc>
          <w:tcPr>
            <w:tcW w:w="10456" w:type="dxa"/>
          </w:tcPr>
          <w:p w14:paraId="523C69A4" w14:textId="77777777" w:rsidR="004B6439" w:rsidRPr="004B6439" w:rsidRDefault="004B6439" w:rsidP="004B6439">
            <w:pPr>
              <w:spacing w:after="60"/>
              <w:rPr>
                <w:rFonts w:eastAsia="等线"/>
                <w:b/>
                <w:i/>
                <w:iCs/>
                <w:lang w:val="en-US" w:eastAsia="zh-CN"/>
              </w:rPr>
            </w:pPr>
            <w:r w:rsidRPr="004B6439">
              <w:rPr>
                <w:rFonts w:eastAsia="等线"/>
                <w:b/>
                <w:i/>
                <w:iCs/>
                <w:lang w:val="en-US" w:eastAsia="zh-CN"/>
              </w:rPr>
              <w:t>Agreement:</w:t>
            </w:r>
          </w:p>
          <w:p w14:paraId="092DEB4E" w14:textId="4A3D9A86" w:rsidR="00661D17" w:rsidRPr="004B6439" w:rsidRDefault="004B6439" w:rsidP="004B6439">
            <w:pPr>
              <w:numPr>
                <w:ilvl w:val="0"/>
                <w:numId w:val="5"/>
              </w:numPr>
              <w:spacing w:after="120"/>
              <w:rPr>
                <w:i/>
                <w:szCs w:val="24"/>
                <w:lang w:eastAsia="zh-CN"/>
              </w:rPr>
            </w:pPr>
            <w:r w:rsidRPr="004B6439">
              <w:rPr>
                <w:rFonts w:hint="eastAsia"/>
                <w:i/>
                <w:szCs w:val="24"/>
                <w:lang w:eastAsia="zh-CN"/>
              </w:rPr>
              <w:t xml:space="preserve">Wait RAN1 response. If RAN1 response that </w:t>
            </w:r>
            <w:r w:rsidRPr="004B6439">
              <w:rPr>
                <w:rFonts w:hint="eastAsia"/>
                <w:i/>
                <w:szCs w:val="24"/>
                <w:lang w:eastAsia="zh-CN"/>
              </w:rPr>
              <w:t>“</w:t>
            </w:r>
            <w:r w:rsidRPr="004B6439">
              <w:rPr>
                <w:rFonts w:hint="eastAsia"/>
                <w:i/>
                <w:szCs w:val="24"/>
                <w:lang w:eastAsia="zh-CN"/>
              </w:rPr>
              <w:t>Increasing the number of HARQ processes</w:t>
            </w:r>
            <w:r w:rsidRPr="004B6439">
              <w:rPr>
                <w:rFonts w:hint="eastAsia"/>
                <w:i/>
                <w:szCs w:val="24"/>
                <w:lang w:eastAsia="zh-CN"/>
              </w:rPr>
              <w:t>”</w:t>
            </w:r>
            <w:r w:rsidRPr="004B6439">
              <w:rPr>
                <w:rFonts w:hint="eastAsia"/>
                <w:i/>
                <w:szCs w:val="24"/>
                <w:lang w:eastAsia="zh-CN"/>
              </w:rPr>
              <w:t xml:space="preserve"> and </w:t>
            </w:r>
            <w:r w:rsidRPr="004B6439">
              <w:rPr>
                <w:rFonts w:hint="eastAsia"/>
                <w:i/>
                <w:szCs w:val="24"/>
                <w:lang w:eastAsia="zh-CN"/>
              </w:rPr>
              <w:t>“</w:t>
            </w:r>
            <w:r w:rsidRPr="004B6439">
              <w:rPr>
                <w:rFonts w:hint="eastAsia"/>
                <w:i/>
                <w:szCs w:val="24"/>
                <w:lang w:eastAsia="zh-CN"/>
              </w:rPr>
              <w:t>K1 range extension</w:t>
            </w:r>
            <w:r w:rsidRPr="004B6439">
              <w:rPr>
                <w:rFonts w:hint="eastAsia"/>
                <w:i/>
                <w:szCs w:val="24"/>
                <w:lang w:eastAsia="zh-CN"/>
              </w:rPr>
              <w:t>”</w:t>
            </w:r>
            <w:r w:rsidRPr="004B6439">
              <w:rPr>
                <w:rFonts w:hint="eastAsia"/>
                <w:i/>
                <w:szCs w:val="24"/>
                <w:lang w:eastAsia="zh-CN"/>
              </w:rPr>
              <w:t xml:space="preserve"> issue can be solved by existing NTN solution, consider to define corresponding demodulation requirements with the new TDD pattern and note should be added in the specification that this pattern is for ATG scenario only, these requirements should be optional based on UE capability</w:t>
            </w:r>
          </w:p>
        </w:tc>
      </w:tr>
    </w:tbl>
    <w:p w14:paraId="30D88394" w14:textId="0E33C8C7" w:rsidR="00661D17" w:rsidRDefault="00661D17" w:rsidP="00661D17">
      <w:pPr>
        <w:rPr>
          <w:lang w:val="en-US" w:eastAsia="zh-CN"/>
        </w:rPr>
      </w:pPr>
    </w:p>
    <w:p w14:paraId="73AA3230" w14:textId="357021B7" w:rsidR="004B6439" w:rsidRDefault="004B6439" w:rsidP="00661D17">
      <w:pPr>
        <w:rPr>
          <w:lang w:val="en-US" w:eastAsia="zh-CN"/>
        </w:rPr>
      </w:pPr>
      <w:r>
        <w:rPr>
          <w:rFonts w:hint="eastAsia"/>
          <w:lang w:val="en-US" w:eastAsia="zh-CN"/>
        </w:rPr>
        <w:t>B</w:t>
      </w:r>
      <w:r>
        <w:rPr>
          <w:lang w:val="en-US" w:eastAsia="zh-CN"/>
        </w:rPr>
        <w:t xml:space="preserve">ased on the RAN1 </w:t>
      </w:r>
      <w:r w:rsidRPr="004B6439">
        <w:rPr>
          <w:lang w:val="en-US" w:eastAsia="zh-CN"/>
        </w:rPr>
        <w:t>Reply LS</w:t>
      </w:r>
      <w:r>
        <w:rPr>
          <w:lang w:val="en-US" w:eastAsia="zh-CN"/>
        </w:rPr>
        <w:t xml:space="preserve"> in last meeting, </w:t>
      </w:r>
      <w:r w:rsidRPr="004B6439">
        <w:rPr>
          <w:lang w:val="en-US" w:eastAsia="zh-CN"/>
        </w:rPr>
        <w:t>UE features 26-5 ‘Increasing the number of HARQ processes’ and 26-10 ‘K1 range extension’ can be used for Rel-18 NR ATG</w:t>
      </w:r>
      <w:r>
        <w:rPr>
          <w:lang w:val="en-US" w:eastAsia="zh-CN"/>
        </w:rPr>
        <w:t xml:space="preserve">. So we </w:t>
      </w:r>
      <w:r w:rsidRPr="004B6439">
        <w:rPr>
          <w:lang w:val="en-US" w:eastAsia="zh-CN"/>
        </w:rPr>
        <w:t>are OK to</w:t>
      </w:r>
      <w:r>
        <w:rPr>
          <w:lang w:val="en-US" w:eastAsia="zh-CN"/>
        </w:rPr>
        <w:t xml:space="preserve"> </w:t>
      </w:r>
      <w:r w:rsidRPr="004B6439">
        <w:rPr>
          <w:lang w:val="en-US" w:eastAsia="zh-CN"/>
        </w:rPr>
        <w:t>define corresponding demodulation requirements with the new TDD pattern and note should be added in the specification that this pattern is for ATG scenario only</w:t>
      </w:r>
      <w:r>
        <w:rPr>
          <w:lang w:val="en-US" w:eastAsia="zh-CN"/>
        </w:rPr>
        <w:t>,</w:t>
      </w:r>
      <w:r w:rsidRPr="004B6439">
        <w:t xml:space="preserve"> </w:t>
      </w:r>
      <w:r w:rsidRPr="004B6439">
        <w:rPr>
          <w:lang w:val="en-US" w:eastAsia="zh-CN"/>
        </w:rPr>
        <w:t>these requirements should be optional based on UE capability.</w:t>
      </w:r>
    </w:p>
    <w:p w14:paraId="51F350E9" w14:textId="0E13ADCA" w:rsidR="00C723D2" w:rsidRDefault="004B6439" w:rsidP="00C723D2">
      <w:pPr>
        <w:pStyle w:val="Proposal"/>
      </w:pPr>
      <w:r>
        <w:t>D</w:t>
      </w:r>
      <w:r w:rsidRPr="004B6439">
        <w:t>efine corresponding demodulation requirements with the new TDD pattern and note should be added in the specification that this pattern is for ATG scenario only, these requirements should be optional based on UE capability.</w:t>
      </w:r>
    </w:p>
    <w:p w14:paraId="23FEE591" w14:textId="68341C59" w:rsidR="004B6439" w:rsidRDefault="004B6439" w:rsidP="004B6439">
      <w:pPr>
        <w:pStyle w:val="2"/>
        <w:rPr>
          <w:lang w:val="en-US" w:eastAsia="zh-CN"/>
        </w:rPr>
      </w:pPr>
      <w:r w:rsidRPr="004B6439">
        <w:rPr>
          <w:lang w:val="en-US" w:eastAsia="zh-CN"/>
        </w:rPr>
        <w:t>Applicability rule for TDD pattern</w:t>
      </w:r>
    </w:p>
    <w:tbl>
      <w:tblPr>
        <w:tblStyle w:val="af4"/>
        <w:tblW w:w="0" w:type="auto"/>
        <w:tblLook w:val="04A0" w:firstRow="1" w:lastRow="0" w:firstColumn="1" w:lastColumn="0" w:noHBand="0" w:noVBand="1"/>
      </w:tblPr>
      <w:tblGrid>
        <w:gridCol w:w="10456"/>
      </w:tblGrid>
      <w:tr w:rsidR="004B6439" w:rsidRPr="004B6439" w14:paraId="4549FD42" w14:textId="77777777" w:rsidTr="004B6439">
        <w:tc>
          <w:tcPr>
            <w:tcW w:w="10456" w:type="dxa"/>
          </w:tcPr>
          <w:p w14:paraId="1DE2C9C2" w14:textId="77777777" w:rsidR="004B6439" w:rsidRPr="004B6439" w:rsidRDefault="004B6439" w:rsidP="004B6439">
            <w:pPr>
              <w:numPr>
                <w:ilvl w:val="0"/>
                <w:numId w:val="5"/>
              </w:numPr>
              <w:spacing w:after="120"/>
              <w:rPr>
                <w:i/>
                <w:szCs w:val="24"/>
                <w:lang w:eastAsia="zh-CN"/>
              </w:rPr>
            </w:pPr>
            <w:r w:rsidRPr="004B6439">
              <w:rPr>
                <w:rFonts w:hint="eastAsia"/>
                <w:i/>
                <w:szCs w:val="24"/>
                <w:lang w:eastAsia="zh-CN"/>
              </w:rPr>
              <w:t>Option 1: the legacy TDD pattern can be skipped if the test of new TDD pattern is passed</w:t>
            </w:r>
            <w:r w:rsidRPr="004B6439">
              <w:rPr>
                <w:i/>
                <w:szCs w:val="24"/>
                <w:lang w:eastAsia="zh-CN"/>
              </w:rPr>
              <w:t>;</w:t>
            </w:r>
          </w:p>
          <w:p w14:paraId="18350693" w14:textId="1C000C5D" w:rsidR="004B6439" w:rsidRPr="004B6439" w:rsidRDefault="004B6439" w:rsidP="004B6439">
            <w:pPr>
              <w:numPr>
                <w:ilvl w:val="0"/>
                <w:numId w:val="5"/>
              </w:numPr>
              <w:spacing w:after="120"/>
              <w:rPr>
                <w:i/>
                <w:szCs w:val="24"/>
                <w:lang w:eastAsia="zh-CN"/>
              </w:rPr>
            </w:pPr>
            <w:r w:rsidRPr="004B6439">
              <w:rPr>
                <w:i/>
                <w:szCs w:val="24"/>
                <w:lang w:eastAsia="zh-CN"/>
              </w:rPr>
              <w:t>Other options not precluded</w:t>
            </w:r>
          </w:p>
        </w:tc>
      </w:tr>
    </w:tbl>
    <w:p w14:paraId="32306071" w14:textId="4FFE4A80" w:rsidR="004B6439" w:rsidRDefault="004B6439" w:rsidP="004B6439">
      <w:pPr>
        <w:rPr>
          <w:lang w:val="en-US" w:eastAsia="zh-CN"/>
        </w:rPr>
      </w:pPr>
    </w:p>
    <w:p w14:paraId="697D02B0" w14:textId="1199BC23" w:rsidR="004B6439" w:rsidRDefault="004B6439" w:rsidP="004B6439">
      <w:pPr>
        <w:rPr>
          <w:lang w:val="en-US" w:eastAsia="zh-CN"/>
        </w:rPr>
      </w:pPr>
      <w:r>
        <w:rPr>
          <w:rFonts w:hint="eastAsia"/>
          <w:lang w:val="en-US" w:eastAsia="zh-CN"/>
        </w:rPr>
        <w:t>C</w:t>
      </w:r>
      <w:r>
        <w:rPr>
          <w:lang w:val="en-US" w:eastAsia="zh-CN"/>
        </w:rPr>
        <w:t xml:space="preserve">onsidering that the performance difference under the </w:t>
      </w:r>
      <w:r w:rsidRPr="004B6439">
        <w:rPr>
          <w:lang w:val="en-US" w:eastAsia="zh-CN"/>
        </w:rPr>
        <w:t>new TDD pattern</w:t>
      </w:r>
      <w:r>
        <w:rPr>
          <w:lang w:val="en-US" w:eastAsia="zh-CN"/>
        </w:rPr>
        <w:t xml:space="preserve"> and the </w:t>
      </w:r>
      <w:r w:rsidRPr="004B6439">
        <w:rPr>
          <w:lang w:val="en-US" w:eastAsia="zh-CN"/>
        </w:rPr>
        <w:t>legacy TDD pattern</w:t>
      </w:r>
      <w:r>
        <w:rPr>
          <w:lang w:val="en-US" w:eastAsia="zh-CN"/>
        </w:rPr>
        <w:t xml:space="preserve"> is negligible, we are OK to define </w:t>
      </w:r>
      <w:r w:rsidRPr="004B6439">
        <w:rPr>
          <w:lang w:val="en-US" w:eastAsia="zh-CN"/>
        </w:rPr>
        <w:t>the applicability rule that the case with legacy TDD pattern can be skipped if the test of the case with the new TDD pattern is passed, only when the two cases are with same configuration except the TDD pattern.</w:t>
      </w:r>
    </w:p>
    <w:p w14:paraId="78241587" w14:textId="249A52C4" w:rsidR="004B6439" w:rsidRDefault="004B6439" w:rsidP="004B6439">
      <w:pPr>
        <w:pStyle w:val="Proposal"/>
      </w:pPr>
      <w:r>
        <w:t>D</w:t>
      </w:r>
      <w:r w:rsidRPr="004B6439">
        <w:t xml:space="preserve">efine the applicability rule that the </w:t>
      </w:r>
      <w:r>
        <w:t xml:space="preserve">case with </w:t>
      </w:r>
      <w:r w:rsidRPr="004B6439">
        <w:t xml:space="preserve">legacy TDD pattern can be skipped if the test of </w:t>
      </w:r>
      <w:r>
        <w:t xml:space="preserve">the case with the </w:t>
      </w:r>
      <w:r w:rsidRPr="004B6439">
        <w:t xml:space="preserve">new TDD pattern is passed, </w:t>
      </w:r>
      <w:r>
        <w:t>only</w:t>
      </w:r>
      <w:r w:rsidRPr="004B6439">
        <w:t xml:space="preserve"> </w:t>
      </w:r>
      <w:r>
        <w:t xml:space="preserve">when </w:t>
      </w:r>
      <w:r w:rsidRPr="004B6439">
        <w:t xml:space="preserve">the </w:t>
      </w:r>
      <w:r>
        <w:t xml:space="preserve">two </w:t>
      </w:r>
      <w:r w:rsidRPr="004B6439">
        <w:t xml:space="preserve">cases </w:t>
      </w:r>
      <w:r>
        <w:t>are</w:t>
      </w:r>
      <w:r w:rsidRPr="004B6439">
        <w:t xml:space="preserve"> </w:t>
      </w:r>
      <w:r>
        <w:t>with</w:t>
      </w:r>
      <w:r w:rsidRPr="004B6439">
        <w:t xml:space="preserve"> same configuration except the TDD pattern.</w:t>
      </w:r>
    </w:p>
    <w:p w14:paraId="205AFB31" w14:textId="3FCCDDAE" w:rsidR="004B6439" w:rsidRDefault="004B6439" w:rsidP="004B6439">
      <w:pPr>
        <w:pStyle w:val="2"/>
        <w:rPr>
          <w:lang w:val="en-US" w:eastAsia="zh-CN"/>
        </w:rPr>
      </w:pPr>
      <w:r w:rsidRPr="004B6439">
        <w:rPr>
          <w:lang w:val="en-US" w:eastAsia="zh-CN"/>
        </w:rPr>
        <w:lastRenderedPageBreak/>
        <w:t>Specification impact</w:t>
      </w:r>
    </w:p>
    <w:tbl>
      <w:tblPr>
        <w:tblStyle w:val="af4"/>
        <w:tblW w:w="0" w:type="auto"/>
        <w:tblLook w:val="04A0" w:firstRow="1" w:lastRow="0" w:firstColumn="1" w:lastColumn="0" w:noHBand="0" w:noVBand="1"/>
      </w:tblPr>
      <w:tblGrid>
        <w:gridCol w:w="10456"/>
      </w:tblGrid>
      <w:tr w:rsidR="004B6439" w:rsidRPr="004B6439" w14:paraId="2A9A2507" w14:textId="77777777" w:rsidTr="004B6439">
        <w:tc>
          <w:tcPr>
            <w:tcW w:w="10456" w:type="dxa"/>
          </w:tcPr>
          <w:p w14:paraId="01839CCE" w14:textId="77777777" w:rsidR="004B6439" w:rsidRPr="004B6439" w:rsidRDefault="004B6439" w:rsidP="004B6439">
            <w:pPr>
              <w:spacing w:after="120"/>
              <w:rPr>
                <w:i/>
                <w:szCs w:val="24"/>
                <w:lang w:eastAsia="zh-CN"/>
              </w:rPr>
            </w:pPr>
            <w:r w:rsidRPr="004B6439">
              <w:rPr>
                <w:rFonts w:hint="eastAsia"/>
                <w:i/>
                <w:szCs w:val="24"/>
                <w:lang w:val="en-US" w:eastAsia="zh-CN"/>
              </w:rPr>
              <w:t>For ATG UE demodulation requirements</w:t>
            </w:r>
          </w:p>
          <w:p w14:paraId="31234A74" w14:textId="77777777" w:rsidR="004B6439" w:rsidRPr="004B6439" w:rsidRDefault="004B6439" w:rsidP="004B6439">
            <w:pPr>
              <w:numPr>
                <w:ilvl w:val="0"/>
                <w:numId w:val="5"/>
              </w:numPr>
              <w:spacing w:after="120"/>
              <w:rPr>
                <w:i/>
                <w:szCs w:val="24"/>
                <w:lang w:eastAsia="zh-CN"/>
              </w:rPr>
            </w:pPr>
            <w:r w:rsidRPr="004B6439">
              <w:rPr>
                <w:rFonts w:hint="eastAsia"/>
                <w:i/>
                <w:szCs w:val="24"/>
                <w:lang w:eastAsia="zh-CN"/>
              </w:rPr>
              <w:t>Option 1: Introduce a new section under each physical channel for ATG UE demodulation requirements.</w:t>
            </w:r>
          </w:p>
          <w:p w14:paraId="31EBFFC9" w14:textId="77777777" w:rsidR="004B6439" w:rsidRPr="004B6439" w:rsidRDefault="004B6439" w:rsidP="004B6439">
            <w:pPr>
              <w:numPr>
                <w:ilvl w:val="0"/>
                <w:numId w:val="5"/>
              </w:numPr>
              <w:spacing w:after="120"/>
              <w:rPr>
                <w:i/>
                <w:szCs w:val="24"/>
                <w:lang w:eastAsia="zh-CN"/>
              </w:rPr>
            </w:pPr>
            <w:r w:rsidRPr="004B6439">
              <w:rPr>
                <w:rFonts w:hint="eastAsia"/>
                <w:i/>
                <w:szCs w:val="24"/>
                <w:lang w:val="en-US" w:eastAsia="zh-CN"/>
              </w:rPr>
              <w:t>Option 2:</w:t>
            </w:r>
          </w:p>
          <w:p w14:paraId="45C0977A" w14:textId="77777777" w:rsidR="004B6439" w:rsidRPr="004B6439" w:rsidRDefault="004B6439" w:rsidP="004B6439">
            <w:pPr>
              <w:numPr>
                <w:ilvl w:val="1"/>
                <w:numId w:val="5"/>
              </w:numPr>
              <w:spacing w:after="120"/>
              <w:rPr>
                <w:i/>
                <w:szCs w:val="24"/>
                <w:lang w:eastAsia="zh-CN"/>
              </w:rPr>
            </w:pPr>
            <w:r w:rsidRPr="004B6439">
              <w:rPr>
                <w:rFonts w:hint="eastAsia"/>
                <w:i/>
                <w:szCs w:val="24"/>
                <w:lang w:val="en-US" w:eastAsia="zh-CN"/>
              </w:rPr>
              <w:t>New clause for ATG applicability of requirements should be introduced</w:t>
            </w:r>
          </w:p>
          <w:p w14:paraId="087FF02A" w14:textId="77777777" w:rsidR="004B6439" w:rsidRPr="004B6439" w:rsidRDefault="004B6439" w:rsidP="004B6439">
            <w:pPr>
              <w:numPr>
                <w:ilvl w:val="1"/>
                <w:numId w:val="5"/>
              </w:numPr>
              <w:spacing w:after="120"/>
              <w:rPr>
                <w:i/>
                <w:szCs w:val="24"/>
                <w:lang w:eastAsia="zh-CN"/>
              </w:rPr>
            </w:pPr>
            <w:r w:rsidRPr="004B6439">
              <w:rPr>
                <w:rFonts w:hint="eastAsia"/>
                <w:i/>
                <w:szCs w:val="24"/>
                <w:lang w:val="en-US" w:eastAsia="zh-CN"/>
              </w:rPr>
              <w:t>New clauses for ATG new incremental PDSCH requirements should be introduced</w:t>
            </w:r>
          </w:p>
          <w:p w14:paraId="2F2D25F8" w14:textId="77777777" w:rsidR="004B6439" w:rsidRPr="004B6439" w:rsidRDefault="004B6439" w:rsidP="004B6439">
            <w:pPr>
              <w:spacing w:after="120"/>
              <w:rPr>
                <w:i/>
                <w:szCs w:val="24"/>
                <w:lang w:eastAsia="zh-CN"/>
              </w:rPr>
            </w:pPr>
            <w:r w:rsidRPr="004B6439">
              <w:rPr>
                <w:rFonts w:hint="eastAsia"/>
                <w:i/>
                <w:szCs w:val="24"/>
                <w:lang w:val="en-US" w:eastAsia="zh-CN"/>
              </w:rPr>
              <w:t>For ATG BS demodulation requirements</w:t>
            </w:r>
          </w:p>
          <w:p w14:paraId="72166319" w14:textId="77777777" w:rsidR="004B6439" w:rsidRPr="004B6439" w:rsidRDefault="004B6439" w:rsidP="004B6439">
            <w:pPr>
              <w:numPr>
                <w:ilvl w:val="0"/>
                <w:numId w:val="5"/>
              </w:numPr>
              <w:spacing w:after="120"/>
              <w:rPr>
                <w:i/>
                <w:szCs w:val="24"/>
                <w:lang w:eastAsia="zh-CN"/>
              </w:rPr>
            </w:pPr>
            <w:r w:rsidRPr="004B6439">
              <w:rPr>
                <w:rFonts w:hint="eastAsia"/>
                <w:i/>
                <w:szCs w:val="24"/>
                <w:lang w:val="en-US" w:eastAsia="zh-CN"/>
              </w:rPr>
              <w:t xml:space="preserve">Option 1: </w:t>
            </w:r>
            <w:r w:rsidRPr="004B6439">
              <w:rPr>
                <w:rFonts w:hint="eastAsia"/>
                <w:i/>
                <w:szCs w:val="24"/>
                <w:lang w:eastAsia="zh-CN"/>
              </w:rPr>
              <w:t>Add a new section for ATG PUSCH demodulation requirements. In this section, clarifications for how to reuse legacy applicability rules and requirements should be added, and new defined PUSCH demodulation requirements could be captured.</w:t>
            </w:r>
          </w:p>
          <w:p w14:paraId="5FE4A546" w14:textId="77777777" w:rsidR="004B6439" w:rsidRPr="004B6439" w:rsidRDefault="004B6439" w:rsidP="004B6439">
            <w:pPr>
              <w:numPr>
                <w:ilvl w:val="0"/>
                <w:numId w:val="5"/>
              </w:numPr>
              <w:spacing w:after="120"/>
              <w:rPr>
                <w:i/>
                <w:szCs w:val="24"/>
                <w:lang w:eastAsia="zh-CN"/>
              </w:rPr>
            </w:pPr>
            <w:r w:rsidRPr="004B6439">
              <w:rPr>
                <w:rFonts w:hint="eastAsia"/>
                <w:i/>
                <w:szCs w:val="24"/>
                <w:lang w:val="en-US" w:eastAsia="zh-CN"/>
              </w:rPr>
              <w:t>Option 2:</w:t>
            </w:r>
          </w:p>
          <w:p w14:paraId="61A55D8C" w14:textId="77777777" w:rsidR="004B6439" w:rsidRPr="004B6439" w:rsidRDefault="004B6439" w:rsidP="004B6439">
            <w:pPr>
              <w:numPr>
                <w:ilvl w:val="1"/>
                <w:numId w:val="5"/>
              </w:numPr>
              <w:spacing w:after="120"/>
              <w:rPr>
                <w:i/>
                <w:szCs w:val="24"/>
                <w:lang w:eastAsia="zh-CN"/>
              </w:rPr>
            </w:pPr>
            <w:r w:rsidRPr="004B6439">
              <w:rPr>
                <w:rFonts w:hint="eastAsia"/>
                <w:i/>
                <w:szCs w:val="24"/>
                <w:lang w:val="en-US" w:eastAsia="zh-CN"/>
              </w:rPr>
              <w:t>New clause for ATG new incremental PUSCH requirements should be introduced in 38.104</w:t>
            </w:r>
          </w:p>
          <w:p w14:paraId="2002AC03" w14:textId="77777777" w:rsidR="004B6439" w:rsidRPr="004B6439" w:rsidRDefault="004B6439" w:rsidP="004B6439">
            <w:pPr>
              <w:numPr>
                <w:ilvl w:val="1"/>
                <w:numId w:val="5"/>
              </w:numPr>
              <w:spacing w:after="120"/>
              <w:rPr>
                <w:i/>
                <w:szCs w:val="24"/>
                <w:lang w:eastAsia="zh-CN"/>
              </w:rPr>
            </w:pPr>
            <w:r w:rsidRPr="004B6439">
              <w:rPr>
                <w:rFonts w:hint="eastAsia"/>
                <w:i/>
                <w:szCs w:val="24"/>
                <w:lang w:val="en-US" w:eastAsia="zh-CN"/>
              </w:rPr>
              <w:t>New clause for ATG applicability of PUSCH requirements should be introduced in 38.141-1 and 38.141-2</w:t>
            </w:r>
          </w:p>
          <w:p w14:paraId="218DB500" w14:textId="77777777" w:rsidR="004B6439" w:rsidRPr="004B6439" w:rsidRDefault="004B6439" w:rsidP="004B6439">
            <w:pPr>
              <w:numPr>
                <w:ilvl w:val="1"/>
                <w:numId w:val="5"/>
              </w:numPr>
              <w:spacing w:after="120"/>
              <w:rPr>
                <w:i/>
                <w:szCs w:val="24"/>
                <w:lang w:eastAsia="zh-CN"/>
              </w:rPr>
            </w:pPr>
            <w:r w:rsidRPr="004B6439">
              <w:rPr>
                <w:rFonts w:hint="eastAsia"/>
                <w:i/>
                <w:szCs w:val="24"/>
                <w:lang w:val="en-US" w:eastAsia="zh-CN"/>
              </w:rPr>
              <w:t>New clause for ATG applicability of PUCCH requirements should be introduced in 38.141-1 and 38.141-2</w:t>
            </w:r>
          </w:p>
          <w:p w14:paraId="54658688" w14:textId="77777777" w:rsidR="004B6439" w:rsidRPr="004B6439" w:rsidRDefault="004B6439" w:rsidP="004B6439">
            <w:pPr>
              <w:numPr>
                <w:ilvl w:val="1"/>
                <w:numId w:val="5"/>
              </w:numPr>
              <w:spacing w:after="120"/>
              <w:rPr>
                <w:i/>
                <w:szCs w:val="24"/>
                <w:lang w:eastAsia="zh-CN"/>
              </w:rPr>
            </w:pPr>
            <w:r w:rsidRPr="004B6439">
              <w:rPr>
                <w:rFonts w:hint="eastAsia"/>
                <w:i/>
                <w:szCs w:val="24"/>
                <w:lang w:val="en-US" w:eastAsia="zh-CN"/>
              </w:rPr>
              <w:t>New clause for ATG applicability of PUCCH requirements should be introduced in 38.141-1 and 38.141-2</w:t>
            </w:r>
          </w:p>
          <w:p w14:paraId="1D9CFCC7" w14:textId="05F62BE3" w:rsidR="004B6439" w:rsidRPr="004B6439" w:rsidRDefault="004B6439" w:rsidP="004B6439">
            <w:pPr>
              <w:numPr>
                <w:ilvl w:val="0"/>
                <w:numId w:val="5"/>
              </w:numPr>
              <w:spacing w:after="120"/>
              <w:rPr>
                <w:i/>
                <w:szCs w:val="24"/>
                <w:lang w:eastAsia="zh-CN"/>
              </w:rPr>
            </w:pPr>
            <w:r w:rsidRPr="004B6439">
              <w:rPr>
                <w:rFonts w:hint="eastAsia"/>
                <w:i/>
                <w:szCs w:val="24"/>
                <w:lang w:val="en-US" w:eastAsia="zh-CN"/>
              </w:rPr>
              <w:t xml:space="preserve">Option 3: Capture ATG demodulation requirement into the same section with legacy requirement to minimize the effort of specification modification with adding the referring statement as </w:t>
            </w:r>
            <w:r w:rsidRPr="004B6439">
              <w:rPr>
                <w:rFonts w:hint="eastAsia"/>
                <w:i/>
                <w:szCs w:val="24"/>
                <w:lang w:val="en-US" w:eastAsia="zh-CN"/>
              </w:rPr>
              <w:t>“</w:t>
            </w:r>
            <w:r w:rsidRPr="004B6439">
              <w:rPr>
                <w:rFonts w:hint="eastAsia"/>
                <w:i/>
                <w:szCs w:val="24"/>
                <w:lang w:val="en-US" w:eastAsia="zh-CN"/>
              </w:rPr>
              <w:t>The following requirements in sections of 8.2.1 and 8.2.3 can be applied for BS declared to support ATG scenario</w:t>
            </w:r>
            <w:r w:rsidRPr="004B6439">
              <w:rPr>
                <w:rFonts w:hint="eastAsia"/>
                <w:i/>
                <w:szCs w:val="24"/>
                <w:lang w:val="en-US" w:eastAsia="zh-CN"/>
              </w:rPr>
              <w:t>”</w:t>
            </w:r>
            <w:r w:rsidRPr="004B6439">
              <w:rPr>
                <w:rFonts w:hint="eastAsia"/>
                <w:i/>
                <w:szCs w:val="24"/>
                <w:lang w:val="en-US" w:eastAsia="zh-CN"/>
              </w:rPr>
              <w:t xml:space="preserve">. New dedicated requirement can be added into the corresponding table in section 8.2.1 </w:t>
            </w:r>
          </w:p>
        </w:tc>
      </w:tr>
    </w:tbl>
    <w:p w14:paraId="31612917" w14:textId="06DA115F" w:rsidR="004B6439" w:rsidRDefault="004B6439" w:rsidP="004B6439">
      <w:pPr>
        <w:rPr>
          <w:lang w:val="en-US" w:eastAsia="zh-CN"/>
        </w:rPr>
      </w:pPr>
    </w:p>
    <w:p w14:paraId="43758F54" w14:textId="6FA73EDD" w:rsidR="009803FF" w:rsidRDefault="004B6439" w:rsidP="004B6439">
      <w:pPr>
        <w:rPr>
          <w:lang w:val="en-US" w:eastAsia="zh-CN"/>
        </w:rPr>
      </w:pPr>
      <w:r>
        <w:rPr>
          <w:lang w:val="en-US" w:eastAsia="zh-CN"/>
        </w:rPr>
        <w:t xml:space="preserve">Considering that </w:t>
      </w:r>
      <w:r w:rsidR="009803FF">
        <w:rPr>
          <w:lang w:val="en-US" w:eastAsia="zh-CN"/>
        </w:rPr>
        <w:t>most of</w:t>
      </w:r>
      <w:r>
        <w:rPr>
          <w:lang w:val="en-US" w:eastAsia="zh-CN"/>
        </w:rPr>
        <w:t xml:space="preserve"> other WIs introduce a new section</w:t>
      </w:r>
      <w:r w:rsidR="009803FF">
        <w:rPr>
          <w:lang w:val="en-US" w:eastAsia="zh-CN"/>
        </w:rPr>
        <w:t xml:space="preserve"> for the dedicated feature</w:t>
      </w:r>
      <w:r>
        <w:rPr>
          <w:lang w:val="en-US" w:eastAsia="zh-CN"/>
        </w:rPr>
        <w:t xml:space="preserve">, we slightly prefer to reuse the same method </w:t>
      </w:r>
      <w:r w:rsidR="009803FF">
        <w:rPr>
          <w:lang w:val="en-US" w:eastAsia="zh-CN"/>
        </w:rPr>
        <w:t xml:space="preserve">for both UE side and BS side </w:t>
      </w:r>
      <w:r>
        <w:rPr>
          <w:lang w:val="en-US" w:eastAsia="zh-CN"/>
        </w:rPr>
        <w:t>for ATG</w:t>
      </w:r>
      <w:r w:rsidR="009803FF">
        <w:rPr>
          <w:lang w:val="en-US" w:eastAsia="zh-CN"/>
        </w:rPr>
        <w:t>.</w:t>
      </w:r>
    </w:p>
    <w:p w14:paraId="76D92D78" w14:textId="494B3490" w:rsidR="004B6439" w:rsidRDefault="009803FF" w:rsidP="009803FF">
      <w:pPr>
        <w:pStyle w:val="Proposal"/>
      </w:pPr>
      <w:r>
        <w:t xml:space="preserve">For ATG UE </w:t>
      </w:r>
      <w:r w:rsidRPr="009803FF">
        <w:t>demodulation requirements</w:t>
      </w:r>
      <w:r>
        <w:t>, i</w:t>
      </w:r>
      <w:r w:rsidR="004B6439" w:rsidRPr="004B6439">
        <w:t>ntroduce a new section under each physical channel for ATG UE demodulation requirements.</w:t>
      </w:r>
    </w:p>
    <w:p w14:paraId="69A486A7" w14:textId="693FB920" w:rsidR="009803FF" w:rsidRPr="004B6439" w:rsidRDefault="009803FF" w:rsidP="009803FF">
      <w:pPr>
        <w:pStyle w:val="Proposal"/>
      </w:pPr>
      <w:r>
        <w:rPr>
          <w:rFonts w:hint="eastAsia"/>
        </w:rPr>
        <w:t>F</w:t>
      </w:r>
      <w:r>
        <w:t xml:space="preserve">or </w:t>
      </w:r>
      <w:r w:rsidRPr="009803FF">
        <w:t>ATG BS demodulation requirements</w:t>
      </w:r>
      <w:r>
        <w:t>, a</w:t>
      </w:r>
      <w:r w:rsidRPr="009803FF">
        <w:t>dd a new section for ATG PUSCH demodulation requirements. In this section, clarifications for how to reuse legacy applicability rules and requirements should be added, and new defined PUSCH demodulation requirements could be captured.</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45A5A68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 xml:space="preserve">discuss </w:t>
      </w:r>
      <w:r w:rsidR="00EA7C2F" w:rsidRPr="00EA7C2F">
        <w:rPr>
          <w:lang w:val="en-US" w:eastAsia="zh-CN"/>
        </w:rPr>
        <w:t>general aspects for NR 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CD5FEE3" w14:textId="77777777" w:rsidR="009803FF" w:rsidRDefault="009803FF" w:rsidP="009803FF">
      <w:pPr>
        <w:pStyle w:val="Proposal"/>
        <w:numPr>
          <w:ilvl w:val="0"/>
          <w:numId w:val="19"/>
        </w:numPr>
      </w:pPr>
      <w:r>
        <w:t>D</w:t>
      </w:r>
      <w:r w:rsidRPr="004B6439">
        <w:t>efine corresponding demodulation requirements with the new TDD pattern and note should be added in the specification that this pattern is for ATG scenario only, these requirements should be optional based on UE capability.</w:t>
      </w:r>
    </w:p>
    <w:p w14:paraId="28A01CF6" w14:textId="77777777" w:rsidR="009803FF" w:rsidRDefault="009803FF" w:rsidP="009803FF">
      <w:pPr>
        <w:pStyle w:val="Proposal"/>
      </w:pPr>
      <w:r>
        <w:t>D</w:t>
      </w:r>
      <w:r w:rsidRPr="004B6439">
        <w:t xml:space="preserve">efine the applicability rule that the </w:t>
      </w:r>
      <w:r>
        <w:t xml:space="preserve">case with </w:t>
      </w:r>
      <w:r w:rsidRPr="004B6439">
        <w:t xml:space="preserve">legacy TDD pattern can be skipped if the test of </w:t>
      </w:r>
      <w:r>
        <w:t xml:space="preserve">the case with the </w:t>
      </w:r>
      <w:r w:rsidRPr="004B6439">
        <w:t xml:space="preserve">new TDD pattern is passed, </w:t>
      </w:r>
      <w:r>
        <w:t>only</w:t>
      </w:r>
      <w:r w:rsidRPr="004B6439">
        <w:t xml:space="preserve"> </w:t>
      </w:r>
      <w:r>
        <w:t xml:space="preserve">when </w:t>
      </w:r>
      <w:r w:rsidRPr="004B6439">
        <w:t xml:space="preserve">the </w:t>
      </w:r>
      <w:r>
        <w:t xml:space="preserve">two </w:t>
      </w:r>
      <w:r w:rsidRPr="004B6439">
        <w:t xml:space="preserve">cases </w:t>
      </w:r>
      <w:r>
        <w:t>are</w:t>
      </w:r>
      <w:r w:rsidRPr="004B6439">
        <w:t xml:space="preserve"> </w:t>
      </w:r>
      <w:r>
        <w:t>with</w:t>
      </w:r>
      <w:r w:rsidRPr="004B6439">
        <w:t xml:space="preserve"> same configuration except the TDD pattern.</w:t>
      </w:r>
    </w:p>
    <w:p w14:paraId="2183E2AF" w14:textId="77777777" w:rsidR="009803FF" w:rsidRDefault="009803FF" w:rsidP="009803FF">
      <w:pPr>
        <w:pStyle w:val="Proposal"/>
      </w:pPr>
      <w:r>
        <w:t xml:space="preserve">For ATG UE </w:t>
      </w:r>
      <w:r w:rsidRPr="009803FF">
        <w:t>demodulation requirements</w:t>
      </w:r>
      <w:r>
        <w:t>, i</w:t>
      </w:r>
      <w:r w:rsidRPr="004B6439">
        <w:t>ntroduce a new section under each physical channel for ATG UE demodulation requirements.</w:t>
      </w:r>
    </w:p>
    <w:p w14:paraId="5B9C1AD4" w14:textId="77777777" w:rsidR="009803FF" w:rsidRPr="004B6439" w:rsidRDefault="009803FF" w:rsidP="009803FF">
      <w:pPr>
        <w:pStyle w:val="Proposal"/>
      </w:pPr>
      <w:r>
        <w:rPr>
          <w:rFonts w:hint="eastAsia"/>
        </w:rPr>
        <w:lastRenderedPageBreak/>
        <w:t>F</w:t>
      </w:r>
      <w:r>
        <w:t xml:space="preserve">or </w:t>
      </w:r>
      <w:r w:rsidRPr="009803FF">
        <w:t>ATG BS demodulation requirements</w:t>
      </w:r>
      <w:r>
        <w:t>, a</w:t>
      </w:r>
      <w:r w:rsidRPr="009803FF">
        <w:t>dd a new section for ATG PUSCH demodulation requirements. In this section, clarifications for how to reuse legacy applicability rules and requirements should be added, and new defined PUSCH demodulation requirements could be captured.</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5175E6F3"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r w:rsidR="000C0DA6" w:rsidRPr="000C0DA6">
        <w:rPr>
          <w:lang w:val="en-US" w:eastAsia="zh-CN"/>
        </w:rPr>
        <w:t>4</w:t>
      </w:r>
      <w:r w:rsidR="006C082F" w:rsidRPr="006C082F">
        <w:rPr>
          <w:lang w:val="en-US" w:eastAsia="zh-CN"/>
        </w:rPr>
        <w:t>-2313875</w:t>
      </w:r>
      <w:r w:rsidR="00DA5EE2" w:rsidRPr="00DA5EE2">
        <w:rPr>
          <w:lang w:val="en-US" w:eastAsia="zh-CN"/>
        </w:rPr>
        <w:t xml:space="preserve">, </w:t>
      </w:r>
      <w:r w:rsidR="009715AC" w:rsidRPr="009715AC">
        <w:rPr>
          <w:lang w:val="en-US" w:eastAsia="zh-CN"/>
        </w:rPr>
        <w:t>WF for ATG demodulation requirements</w:t>
      </w:r>
      <w:r w:rsidR="00DA5EE2" w:rsidRPr="00DA5EE2">
        <w:rPr>
          <w:lang w:val="en-US" w:eastAsia="zh-CN"/>
        </w:rPr>
        <w:t>, RAN</w:t>
      </w:r>
      <w:r w:rsidR="00661D17">
        <w:rPr>
          <w:lang w:val="en-US" w:eastAsia="zh-CN"/>
        </w:rPr>
        <w:t>4</w:t>
      </w:r>
      <w:r w:rsidR="00DA5EE2" w:rsidRPr="00DA5EE2">
        <w:rPr>
          <w:lang w:val="en-US" w:eastAsia="zh-CN"/>
        </w:rPr>
        <w:t>#</w:t>
      </w:r>
      <w:r w:rsidR="00661D17">
        <w:rPr>
          <w:lang w:val="en-US" w:eastAsia="zh-CN"/>
        </w:rPr>
        <w:t>10</w:t>
      </w:r>
      <w:r w:rsidR="006C082F">
        <w:rPr>
          <w:lang w:val="en-US" w:eastAsia="zh-CN"/>
        </w:rPr>
        <w:t>8</w:t>
      </w:r>
      <w:r w:rsidR="00DA5EE2" w:rsidRPr="00DA5EE2">
        <w:rPr>
          <w:lang w:val="en-US" w:eastAsia="zh-CN"/>
        </w:rPr>
        <w:t xml:space="preserve">, </w:t>
      </w:r>
      <w:r w:rsidR="00646DA1">
        <w:rPr>
          <w:lang w:val="en-US" w:eastAsia="zh-CN"/>
        </w:rPr>
        <w:t>CMCC</w:t>
      </w:r>
      <w:bookmarkEnd w:id="6"/>
    </w:p>
    <w:p w14:paraId="29D6DB70" w14:textId="713E1D48" w:rsidR="001229F1" w:rsidRPr="000C0DA6" w:rsidRDefault="001229F1" w:rsidP="00AC7557">
      <w:pPr>
        <w:rPr>
          <w:lang w:val="en-US" w:eastAsia="zh-CN"/>
        </w:rPr>
      </w:pPr>
    </w:p>
    <w:sectPr w:rsidR="001229F1" w:rsidRPr="000C0DA6"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E3AD7" w14:textId="77777777" w:rsidR="00453A89" w:rsidRDefault="00453A89" w:rsidP="009163A1">
      <w:pPr>
        <w:spacing w:after="0"/>
      </w:pPr>
      <w:r>
        <w:separator/>
      </w:r>
    </w:p>
  </w:endnote>
  <w:endnote w:type="continuationSeparator" w:id="0">
    <w:p w14:paraId="4EC2D827" w14:textId="77777777" w:rsidR="00453A89" w:rsidRDefault="00453A8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4EB1B" w14:textId="77777777" w:rsidR="00453A89" w:rsidRDefault="00453A89" w:rsidP="009163A1">
      <w:pPr>
        <w:spacing w:after="0"/>
      </w:pPr>
      <w:r>
        <w:separator/>
      </w:r>
    </w:p>
  </w:footnote>
  <w:footnote w:type="continuationSeparator" w:id="0">
    <w:p w14:paraId="2301EDDA" w14:textId="77777777" w:rsidR="00453A89" w:rsidRDefault="00453A89"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2"/>
  </w:num>
  <w:num w:numId="4">
    <w:abstractNumId w:val="3"/>
  </w:num>
  <w:num w:numId="5">
    <w:abstractNumId w:val="5"/>
  </w:num>
  <w:num w:numId="6">
    <w:abstractNumId w:val="8"/>
  </w:num>
  <w:num w:numId="7">
    <w:abstractNumId w:val="0"/>
  </w:num>
  <w:num w:numId="8">
    <w:abstractNumId w:val="2"/>
    <w:lvlOverride w:ilvl="0">
      <w:startOverride w:val="1"/>
    </w:lvlOverride>
  </w:num>
  <w:num w:numId="9">
    <w:abstractNumId w:val="3"/>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4"/>
  </w:num>
  <w:num w:numId="16">
    <w:abstractNumId w:val="1"/>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27825"/>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0DA6"/>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271CA"/>
    <w:rsid w:val="00136B1B"/>
    <w:rsid w:val="00140EFB"/>
    <w:rsid w:val="00141027"/>
    <w:rsid w:val="00142697"/>
    <w:rsid w:val="001439A6"/>
    <w:rsid w:val="00154948"/>
    <w:rsid w:val="001555C5"/>
    <w:rsid w:val="0015739F"/>
    <w:rsid w:val="00157D97"/>
    <w:rsid w:val="00167E9A"/>
    <w:rsid w:val="00170674"/>
    <w:rsid w:val="001707CB"/>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2424"/>
    <w:rsid w:val="001D54C7"/>
    <w:rsid w:val="001E3115"/>
    <w:rsid w:val="001E53A1"/>
    <w:rsid w:val="001E5A0A"/>
    <w:rsid w:val="001F00F8"/>
    <w:rsid w:val="001F0B11"/>
    <w:rsid w:val="001F1A5C"/>
    <w:rsid w:val="001F3FC5"/>
    <w:rsid w:val="001F44AE"/>
    <w:rsid w:val="001F660F"/>
    <w:rsid w:val="00201A9B"/>
    <w:rsid w:val="00204E15"/>
    <w:rsid w:val="002072AE"/>
    <w:rsid w:val="00207AAD"/>
    <w:rsid w:val="00212270"/>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DF7"/>
    <w:rsid w:val="00254E94"/>
    <w:rsid w:val="00256403"/>
    <w:rsid w:val="00256515"/>
    <w:rsid w:val="00262B90"/>
    <w:rsid w:val="0026337D"/>
    <w:rsid w:val="00264A2C"/>
    <w:rsid w:val="00266441"/>
    <w:rsid w:val="0026679C"/>
    <w:rsid w:val="002739ED"/>
    <w:rsid w:val="00274204"/>
    <w:rsid w:val="0027571A"/>
    <w:rsid w:val="0028155C"/>
    <w:rsid w:val="0029153F"/>
    <w:rsid w:val="0029167C"/>
    <w:rsid w:val="0029225C"/>
    <w:rsid w:val="002928C5"/>
    <w:rsid w:val="00293C31"/>
    <w:rsid w:val="00295972"/>
    <w:rsid w:val="002977D6"/>
    <w:rsid w:val="002A00F4"/>
    <w:rsid w:val="002A2DEB"/>
    <w:rsid w:val="002A395D"/>
    <w:rsid w:val="002A43B2"/>
    <w:rsid w:val="002A79F3"/>
    <w:rsid w:val="002B2B37"/>
    <w:rsid w:val="002C1D3E"/>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06055"/>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3A89"/>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B6439"/>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2A35"/>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285"/>
    <w:rsid w:val="005A1CBB"/>
    <w:rsid w:val="005A35D3"/>
    <w:rsid w:val="005A51EE"/>
    <w:rsid w:val="005B1A8C"/>
    <w:rsid w:val="005B3B3E"/>
    <w:rsid w:val="005C3579"/>
    <w:rsid w:val="005C4773"/>
    <w:rsid w:val="005C7834"/>
    <w:rsid w:val="005D0C23"/>
    <w:rsid w:val="005D7B80"/>
    <w:rsid w:val="005D7F6A"/>
    <w:rsid w:val="005E0EAC"/>
    <w:rsid w:val="005E6131"/>
    <w:rsid w:val="005F3786"/>
    <w:rsid w:val="005F7A96"/>
    <w:rsid w:val="006012F4"/>
    <w:rsid w:val="006023E3"/>
    <w:rsid w:val="00615D0B"/>
    <w:rsid w:val="00616955"/>
    <w:rsid w:val="00624A59"/>
    <w:rsid w:val="006254EF"/>
    <w:rsid w:val="00626C53"/>
    <w:rsid w:val="00632715"/>
    <w:rsid w:val="0063536C"/>
    <w:rsid w:val="00637807"/>
    <w:rsid w:val="00641A0D"/>
    <w:rsid w:val="00644782"/>
    <w:rsid w:val="00646613"/>
    <w:rsid w:val="00646DA1"/>
    <w:rsid w:val="00650955"/>
    <w:rsid w:val="006529DC"/>
    <w:rsid w:val="0065378D"/>
    <w:rsid w:val="006551CC"/>
    <w:rsid w:val="00657B61"/>
    <w:rsid w:val="00661D17"/>
    <w:rsid w:val="00662A91"/>
    <w:rsid w:val="00663402"/>
    <w:rsid w:val="006654A8"/>
    <w:rsid w:val="006660C7"/>
    <w:rsid w:val="00666675"/>
    <w:rsid w:val="00674C35"/>
    <w:rsid w:val="0067773B"/>
    <w:rsid w:val="0068409E"/>
    <w:rsid w:val="00684BFD"/>
    <w:rsid w:val="006868DB"/>
    <w:rsid w:val="00692502"/>
    <w:rsid w:val="006948DF"/>
    <w:rsid w:val="00697D1C"/>
    <w:rsid w:val="006A5212"/>
    <w:rsid w:val="006A648F"/>
    <w:rsid w:val="006A6EA3"/>
    <w:rsid w:val="006B12C7"/>
    <w:rsid w:val="006B3B45"/>
    <w:rsid w:val="006B3CBE"/>
    <w:rsid w:val="006B573C"/>
    <w:rsid w:val="006B64A3"/>
    <w:rsid w:val="006B7BB4"/>
    <w:rsid w:val="006C082F"/>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C6B07"/>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249"/>
    <w:rsid w:val="0082437D"/>
    <w:rsid w:val="00825BC9"/>
    <w:rsid w:val="00826757"/>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476E"/>
    <w:rsid w:val="008A732B"/>
    <w:rsid w:val="008A7439"/>
    <w:rsid w:val="008B06F0"/>
    <w:rsid w:val="008B286B"/>
    <w:rsid w:val="008C0BAF"/>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42E2"/>
    <w:rsid w:val="00940C78"/>
    <w:rsid w:val="009466A7"/>
    <w:rsid w:val="009521C3"/>
    <w:rsid w:val="00954768"/>
    <w:rsid w:val="00954EA3"/>
    <w:rsid w:val="0095517A"/>
    <w:rsid w:val="00955313"/>
    <w:rsid w:val="009557F1"/>
    <w:rsid w:val="009614E1"/>
    <w:rsid w:val="00962C79"/>
    <w:rsid w:val="00963048"/>
    <w:rsid w:val="00964D21"/>
    <w:rsid w:val="009715AC"/>
    <w:rsid w:val="00974350"/>
    <w:rsid w:val="00977865"/>
    <w:rsid w:val="009803FF"/>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58B6"/>
    <w:rsid w:val="00A4659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E36D8"/>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5905"/>
    <w:rsid w:val="00C26B92"/>
    <w:rsid w:val="00C34D9E"/>
    <w:rsid w:val="00C40747"/>
    <w:rsid w:val="00C415C5"/>
    <w:rsid w:val="00C4297C"/>
    <w:rsid w:val="00C43A6E"/>
    <w:rsid w:val="00C44D88"/>
    <w:rsid w:val="00C51D3D"/>
    <w:rsid w:val="00C55A77"/>
    <w:rsid w:val="00C57746"/>
    <w:rsid w:val="00C6195C"/>
    <w:rsid w:val="00C663FA"/>
    <w:rsid w:val="00C71D5F"/>
    <w:rsid w:val="00C723D2"/>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045D0"/>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4A53"/>
    <w:rsid w:val="00E77C55"/>
    <w:rsid w:val="00E77E8A"/>
    <w:rsid w:val="00E8060F"/>
    <w:rsid w:val="00E8187B"/>
    <w:rsid w:val="00E8582B"/>
    <w:rsid w:val="00E879F8"/>
    <w:rsid w:val="00E91177"/>
    <w:rsid w:val="00E95A33"/>
    <w:rsid w:val="00EA7B14"/>
    <w:rsid w:val="00EA7C2F"/>
    <w:rsid w:val="00EB0519"/>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40F3"/>
    <w:rsid w:val="00EF731D"/>
    <w:rsid w:val="00EF78B1"/>
    <w:rsid w:val="00F00DD8"/>
    <w:rsid w:val="00F02CA1"/>
    <w:rsid w:val="00F031CC"/>
    <w:rsid w:val="00F05C59"/>
    <w:rsid w:val="00F11E5B"/>
    <w:rsid w:val="00F126C1"/>
    <w:rsid w:val="00F1293E"/>
    <w:rsid w:val="00F12E3B"/>
    <w:rsid w:val="00F14EA8"/>
    <w:rsid w:val="00F1739F"/>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F8D4A-3493-4D09-A27B-92205F5A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1235</TotalTime>
  <Pages>3</Pages>
  <Words>779</Words>
  <Characters>4446</Characters>
  <Application>Microsoft Office Word</Application>
  <DocSecurity>0</DocSecurity>
  <Lines>37</Lines>
  <Paragraphs>10</Paragraphs>
  <ScaleCrop>false</ScaleCrop>
  <Company>Huawei Technologies Co.,Ltd.</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2023-04-10T14:29:00Z</dcterms:created>
  <dcterms:modified xsi:type="dcterms:W3CDTF">2023-09-27T15:14:00Z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(3)5X3CS5P0oQZ6Za4DM09wuWDx1c6mqtHvbC0BxGdcJY9TuHQSS4ycq8GADWyNjV7NCxdDtP1K
Z+aPo68QRxI//2OV8UcRUR0M9Y24LQA0+cTc0Qyp06+/OdT4+8HAoZdESW/rJdQHyJoNG2TG
93pPhm+oxZXqCfl4hCOvb50kdbiUSbP1nvlozjWWN9u1xRA/Nj8ZdX/7KgfYBTSjQ+LMEs9Y
jxg16qh04vBf4G+EFE</vt:lpwstr>
  </property>
  <property fmtid="{D5CDD505-2E9C-101B-9397-08002B2CF9AE}" pid="3" name="_2015_ms_pID_7253431">
    <vt:lpwstr>ugeKjjB4lKTFxOIYFS8y91+/QeD8qrZ+oweiKTlQfM6od+P042rCBg
YXidRk920HsxKJR5nXJdEcBC3ZBo3HTEvKWcdyEZ052myrP7fo42rydYtfk44YyfToeI+u6k
xpAJGcx02PXAJHTrz46BY/ht+0FXQxQhKWALStTyJ+Y7Bu2NztXkFOd8JiJROTSLrB7F07n2
qTvnH6U0G3lBmq3eQrOq1Pd71Ae/5HSrriX2</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1695827632</vt:lpwstr>
  </property>
</Properties>
</file>